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75"/>
              <w:jc w:val="center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郓城县裕民小学内配购置项目中标（成交）结果公告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75"/>
              <w:jc w:val="center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一、项目编号：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SDGP371725000202202000036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二、项目名称：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郓城县裕民小学内配购置项目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三、中标（成交）信息：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top"/>
          </w:tcPr>
          <w:tbl>
            <w:tblPr>
              <w:tblW w:w="5000" w:type="pct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0" w:type="dxa"/>
                <w:bottom w:w="0" w:type="dxa"/>
                <w:right w:w="0" w:type="dxa"/>
              </w:tblCellMar>
            </w:tblPr>
            <w:tblGrid>
              <w:gridCol w:w="829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标包：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供应商名称：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菏泽众安电子智能科技有限公司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供应商地址：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菏泽市开发区人民路中央公馆21号楼2单元602室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中标（成交）金额：（可填写下浮率、折扣率或费率）：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132.90806万元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标包：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供应商名称：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山东金誉伟业商贸有限公司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供应商地址：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山东省济南市长清区固云湖芙蓉路东段创新大厦801-19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中标（成交）金额：（可填写下浮率、折扣率或费率）：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181.872万元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标包：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供应商名称：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中国联合网络通信有限公司菏泽市分公司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供应商地址：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菏泽市中华路518号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中标（成交）金额：（可填写下浮率、折扣率或费率）：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88.980212万元</w:t>
                  </w:r>
                </w:p>
              </w:tc>
            </w:tr>
          </w:tbl>
          <w:p>
            <w:pPr>
              <w:spacing w:before="0" w:beforeAutospacing="0" w:after="0" w:afterAutospacing="0" w:line="23" w:lineRule="atLeast"/>
              <w:ind w:left="0" w:right="0" w:firstLine="75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四、主要标的信息：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top"/>
          </w:tcPr>
          <w:tbl>
            <w:tblPr>
              <w:tblW w:w="5000" w:type="pct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0" w:type="dxa"/>
                <w:bottom w:w="0" w:type="dxa"/>
                <w:right w:w="0" w:type="dxa"/>
              </w:tblCellMar>
            </w:tblPr>
            <w:tblGrid>
              <w:gridCol w:w="829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标包：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名称：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教室、实验室配置设施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品牌（如有）：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规格型号：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数量：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单价：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标包：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B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名称：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多媒体教室、微机室配置设施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品牌（如有）：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规格型号：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数量：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单价：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标包：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C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名称：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u w:val="single"/>
                      <w:bdr w:val="none" w:color="auto" w:sz="0" w:space="0"/>
                      <w:lang w:val="en-US" w:eastAsia="zh-CN" w:bidi="ar"/>
                    </w:rPr>
                    <w:t>智慧校园配置设施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品牌（如有）：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规格型号：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数量：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tcMar>
                    <w:top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3" w:lineRule="atLeast"/>
                    <w:ind w:left="0" w:right="0" w:firstLine="75"/>
                    <w:jc w:val="left"/>
                    <w:rPr>
                      <w:rFonts w:hint="default" w:ascii="Arial" w:hAnsi="Arial" w:cs="Arial"/>
                      <w:i w:val="0"/>
                      <w:iCs w:val="0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单价：</w:t>
                  </w:r>
                </w:p>
              </w:tc>
            </w:tr>
          </w:tbl>
          <w:p>
            <w:pPr>
              <w:spacing w:before="0" w:beforeAutospacing="0" w:after="0" w:afterAutospacing="0" w:line="23" w:lineRule="atLeast"/>
              <w:ind w:left="0" w:right="0" w:firstLine="75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五、评审专家（单一来源采购人员）名单：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标包A：周海滨、李兰军、林海英、徐涛、王涛、标包B：周海滨、李兰军、林海英、徐涛、王涛、标包C：周海滨、李兰军、林海英、徐涛、王涛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标包A：菏泽众安电子智能科技有限公司（87.94、89.94、90.94、91.94、91.94）、山东亿邦科教设备有限公司（85.87、87.87、88.87、88.87、89.87）、山东昶儒教育装备有限公司（86.0、89.0、89.0、90.0、90.0）、山东海橙光电集团有限公司（71.89、71.89、71.89、73.89、75.89）标包B：山东金誉伟业商贸有限公司（93.0、94.0、94.0、95.0、95.0）、菏泽市飞腾数码科技有限公司（83.95、83.95、84.95、85.95、86.95）、菏泽开发区亿维创联信息技术有限公司（82.89、82.89、83.89、84.89、85.89）、山东迪天智能科技有限公司（83.97、85.97、85.97、85.97、86.97）标包C：中国联合网络通信有限公司菏泽市分公司（94.0、95.0、96.0、96.0、96.0）、菏泽众达信息科技服务有限公司（81.72、82.72、83.72、84.72、84.72）、菏泽图泰信息科技有限公司（85.86、86.86、88.86、88.86、89.86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六、代理服务收费标准及金额：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收费标准：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收费金额（单位：元）：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七、公告期限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自本公告发布之日起1个工作日。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八、其他补充事宜：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其他补充事宜：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九、未中标（成交）供应商的未中标（成交）原因：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1、山东沐高信息技术有限公司：资格审查未通过（不满足《政府采购法》第22条及《政府采购法实施条例》第17条要求，或未提供能证明其满足要求的相关证明材料的）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2、山东沐高信息技术有限公司：资格审查未通过（不满足《政府采购法》第22条及《政府采购法实施条例》第17条要求，或未提供能证明其满足要求的相关证明材料的）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3、菏泽成达电子科技有限公司：资格审查未通过（不满足《政府采购法》第22条及《政府采购法实施条例》第17条要求，或未提供能证明其满足要求的相关证明材料的）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4、菏泽成达电子科技有限公司：资格审查未通过（不满足《政府采购法》第22条及《政府采购法实施条例》第17条要求，或未提供能证明其满足要求的相关证明材料的）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5、山东迪天智能科技有限公司：评审得分较低（因设备性能（技术参数）存在负偏离项、服务方案等评审因素不占优势，导致技术部分得分偏低）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6、菏泽开发区亿维创联信息技术有限公司：评审得分较低（因设备性能（技术参数）存在负偏离项、服务方案等评审因素不占优势，导致技术部分得分偏低）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7、菏泽市飞腾数码科技有限公司：评审得分较低（因设备性能（技术参数）存在负偏离项、服务方案等评审因素不占优势，导致技术部分得分偏低）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8、菏泽众达信息科技服务有限公司：符合性审查未通过（投标文件未对招标文件的实质性要求和条件做出响应）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9、菏泽众达信息科技服务有限公司：评审得分较低（因设备性能（技术参数）存在负偏离项、服务方案等评审因素不占优势，导致技术部分得分偏低）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10、山东海橙光电集团有限公司：评审得分较低（因设备性能（技术参数）存在负偏离项、服务方案等评审因素不占优势，导致技术部分得分偏低）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11、山东昶儒教育装备有限公司：评审得分较低（因设备性能（技术参数）存在负偏离项、服务方案等评审因素不占优势，导致技术部分得分偏低）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12、菏泽图泰信息科技有限公司：评审得分较低（因类似业绩、拟派人员、质保期、交货期、服务期、响应时间等评审因素不占优势，导致商务部分得分偏低）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13、山东亿邦科教设备有限公司：评审得分较低（因设备性能（技术参数）存在负偏离项、服务方案等评审因素不占优势，导致技术部分得分偏低）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十、凡对本次公告内容提出询问，请按以下方式联系：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1、采购人信息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名    称：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郓城县教育和体育局本级,郓城县教育和体育局本级,郓城县教育和体育局本级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地    址：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郓城县育才路119号(郓城县教育和体育局本级),郓城县育才路119号(郓城县教育和体育局本级),郓城县育才路119号(郓城县教育和体育局本级)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联系方式：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0530-6583010(郓城县教育和体育局本级),0530-6583010(郓城县教育和体育局本级),0530-6583010(郓城县教育和体育局本级)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2、采购代理机构信息（如有）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名    称: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山东中慧招标代理有限公司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地    址：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山东省菏泽市开发区县（区）珠江路1777号建树产业园三号楼510室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联系方式：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19153072062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3、项目联系方式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项目联系人：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杨雨莹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75"/>
              <w:jc w:val="left"/>
              <w:rPr>
                <w:rFonts w:hint="default" w:ascii="Arial" w:hAnsi="Arial" w:cs="Arial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联系方式：</w:t>
            </w:r>
            <w:r>
              <w:rPr>
                <w:rFonts w:hint="default" w:ascii="Arial" w:hAnsi="Arial" w:eastAsia="宋体" w:cs="Arial"/>
                <w:i w:val="0"/>
                <w:iCs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19153072062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OGM3ZWY0MjQzNzU0OTM2NDgzZjg0MGEzZjY4MzUifQ=="/>
  </w:docVars>
  <w:rsids>
    <w:rsidRoot w:val="00000000"/>
    <w:rsid w:val="7BD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2022-08-08T09:06:51Z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ADB5462572D7473A86024567BFEC68F9</vt:lpwstr>
  </property>
</Properties>
</file>